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EF" w:rsidRDefault="008420EF" w:rsidP="008420EF">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8420EF" w:rsidRDefault="008420EF" w:rsidP="008420EF">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178/2016-JN</w:t>
      </w:r>
      <w:r>
        <w:rPr>
          <w:rFonts w:asciiTheme="minorHAnsi" w:hAnsiTheme="minorHAnsi" w:cstheme="minorHAnsi"/>
          <w:color w:val="767171" w:themeColor="background2" w:themeShade="80"/>
          <w:sz w:val="26"/>
          <w:szCs w:val="26"/>
        </w:rPr>
        <w:t xml:space="preserve">, promovido por la ciudadana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y,. . . . . . . . . . . . . . . . . . . . . . . . . .</w:t>
      </w: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p>
    <w:p w:rsidR="008420EF" w:rsidRDefault="008420EF" w:rsidP="008420EF">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8420EF" w:rsidRDefault="008420EF" w:rsidP="008420EF">
      <w:pPr>
        <w:jc w:val="both"/>
        <w:rPr>
          <w:color w:val="767171" w:themeColor="background2" w:themeShade="80"/>
        </w:rPr>
      </w:pP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w:t>
      </w:r>
    </w:p>
    <w:p w:rsidR="008420EF" w:rsidRDefault="008420EF" w:rsidP="008420EF">
      <w:pPr>
        <w:pStyle w:val="Textoindependienteprimerasangra"/>
        <w:ind w:firstLine="0"/>
        <w:jc w:val="both"/>
        <w:rPr>
          <w:rFonts w:asciiTheme="minorHAnsi" w:hAnsiTheme="minorHAnsi" w:cstheme="minorHAnsi"/>
          <w:b/>
          <w:bCs/>
          <w:i/>
          <w:iCs/>
          <w:color w:val="767171" w:themeColor="background2" w:themeShade="80"/>
          <w:sz w:val="26"/>
          <w:szCs w:val="26"/>
        </w:rPr>
      </w:pP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la actora se ostenta sabedora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r>
        <w:rPr>
          <w:rFonts w:asciiTheme="minorHAnsi" w:hAnsiTheme="minorHAnsi" w:cstheme="minorHAnsi"/>
          <w:color w:val="767171" w:themeColor="background2" w:themeShade="80"/>
          <w:sz w:val="26"/>
          <w:szCs w:val="26"/>
        </w:rPr>
        <w:t xml:space="preserve">. . . . . . . . . . . . . </w:t>
      </w: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w:t>
      </w:r>
      <w:r>
        <w:rPr>
          <w:rFonts w:asciiTheme="minorHAnsi" w:hAnsiTheme="minorHAnsi" w:cstheme="minorHAnsi"/>
          <w:b/>
          <w:color w:val="767171" w:themeColor="background2" w:themeShade="80"/>
          <w:sz w:val="26"/>
          <w:szCs w:val="26"/>
        </w:rPr>
        <w:t>GCA/1975/15</w:t>
      </w:r>
      <w:r>
        <w:rPr>
          <w:rFonts w:asciiTheme="minorHAnsi" w:hAnsiTheme="minorHAnsi" w:cstheme="minorHAnsi"/>
          <w:color w:val="767171" w:themeColor="background2" w:themeShade="80"/>
          <w:sz w:val="26"/>
          <w:szCs w:val="26"/>
        </w:rPr>
        <w:t xml:space="preserve"> de fecha 17 diecisiete de diciembre  del  año </w:t>
      </w:r>
    </w:p>
    <w:p w:rsidR="008420EF" w:rsidRDefault="008420EF" w:rsidP="008420EF">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178/2016-JN</w:t>
      </w:r>
    </w:p>
    <w:p w:rsidR="008420EF" w:rsidRDefault="008420EF" w:rsidP="008420EF">
      <w:pPr>
        <w:pStyle w:val="Textoindependienteprimerasangra"/>
        <w:ind w:firstLine="0"/>
        <w:jc w:val="both"/>
        <w:rPr>
          <w:rFonts w:asciiTheme="minorHAnsi" w:hAnsiTheme="minorHAnsi" w:cstheme="minorHAnsi"/>
          <w:color w:val="767171" w:themeColor="background2" w:themeShade="80"/>
          <w:sz w:val="26"/>
          <w:szCs w:val="26"/>
        </w:rPr>
      </w:pPr>
    </w:p>
    <w:p w:rsidR="008420EF" w:rsidRDefault="008420EF" w:rsidP="008420EF">
      <w:pPr>
        <w:pStyle w:val="Textoindependienteprimerasangra"/>
        <w:ind w:firstLine="0"/>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2015 dos mil quince, mismo que aportado por la actora, obra en el secreto de este juzgado (visible, en copia certificada, a foja 8 ocho).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xml:space="preserve">, conforme al contenido del artículo 57 del Código antes citado. . . . . . . . . . . . . . . . . . . . . . . . . </w:t>
      </w:r>
    </w:p>
    <w:p w:rsidR="008420EF" w:rsidRDefault="008420EF" w:rsidP="008420EF">
      <w:pPr>
        <w:pStyle w:val="Textoindependienteprimerasangra"/>
        <w:jc w:val="both"/>
        <w:rPr>
          <w:rFonts w:asciiTheme="minorHAnsi" w:hAnsiTheme="minorHAnsi" w:cstheme="minorHAnsi"/>
          <w:b/>
          <w:i/>
          <w:color w:val="767171" w:themeColor="background2" w:themeShade="80"/>
          <w:sz w:val="26"/>
          <w:szCs w:val="26"/>
        </w:rPr>
      </w:pP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8420EF" w:rsidRDefault="008420EF" w:rsidP="008420EF">
      <w:pPr>
        <w:pStyle w:val="Textoindependienteprimerasangra"/>
        <w:ind w:firstLine="0"/>
        <w:jc w:val="both"/>
        <w:rPr>
          <w:rFonts w:asciiTheme="minorHAnsi" w:hAnsiTheme="minorHAnsi" w:cstheme="minorHAnsi"/>
          <w:color w:val="767171" w:themeColor="background2" w:themeShade="80"/>
          <w:sz w:val="26"/>
          <w:szCs w:val="26"/>
        </w:rPr>
      </w:pP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el presente asunto, la autoridad demandada, planteó en su escrito de contestación que se actualizaban las causales de improcedencia, previstas en las fracciones I y VI del artículo 261 del Código de Procedimiento antes citado; toda vez </w:t>
      </w:r>
      <w:r>
        <w:rPr>
          <w:rFonts w:asciiTheme="minorHAnsi" w:hAnsiTheme="minorHAnsi" w:cstheme="minorHAnsi"/>
          <w:color w:val="767171" w:themeColor="background2" w:themeShade="80"/>
          <w:sz w:val="26"/>
          <w:szCs w:val="26"/>
        </w:rPr>
        <w:lastRenderedPageBreak/>
        <w:t xml:space="preserve">que el acto impugnado no afecta el interés jurídico de la actora y, que dicho acto, no constituye un acto administrativo. . . . . . . . . . . . . . . . . . . . . . . . . . . . . . . . . . </w:t>
      </w: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la impugnadora,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8420EF" w:rsidRDefault="008420EF" w:rsidP="008420EF">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8420EF" w:rsidRDefault="008420EF" w:rsidP="008420EF">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r>
        <w:rPr>
          <w:rStyle w:val="nfasis"/>
          <w:b/>
          <w:color w:val="767171" w:themeColor="background2" w:themeShade="80"/>
          <w:sz w:val="20"/>
          <w:szCs w:val="20"/>
        </w:rPr>
        <w:t>”</w:t>
      </w:r>
      <w:r>
        <w:rPr>
          <w:rFonts w:asciiTheme="minorHAnsi" w:hAnsiTheme="minorHAnsi" w:cstheme="minorHAnsi"/>
          <w:color w:val="767171" w:themeColor="background2" w:themeShade="80"/>
        </w:rPr>
        <w:t>. . . . . . . . . . . . . . . . . . . . . . . . . . . . . . . . . . . . .</w:t>
      </w:r>
    </w:p>
    <w:p w:rsidR="008420EF" w:rsidRDefault="008420EF" w:rsidP="008420EF">
      <w:pPr>
        <w:pStyle w:val="Textoindependienteprimerasangra"/>
        <w:ind w:firstLine="0"/>
        <w:jc w:val="both"/>
        <w:rPr>
          <w:rFonts w:asciiTheme="minorHAnsi" w:hAnsiTheme="minorHAnsi" w:cstheme="minorHAnsi"/>
          <w:sz w:val="26"/>
          <w:szCs w:val="26"/>
        </w:rPr>
      </w:pP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la actora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 .</w:t>
      </w: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la impetrante del proceso tiene interés jurídico. . . . . . . . . . . . . . . . . . . . . . . . . . . . . . . </w:t>
      </w: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programa de mejora de procesos así como una supervisión de su propuesta, lo que a entender de este juzgador busca crear una situación jurídica individual y concreta, en cuanto a las obligaciones de la actora, que se contenían en el Reglamento de los Servicios de Agua Potable, Alcantarillado y Saneamiento para el Municipio de León, Guanajuato (vigente hasta el 2 dos de junio del 2017 dos mil diecisiete), de ahí que la respuesta dada por el enjuiciado, constituya un acto administrativo . . . . . . . . . . . . . . . . . . . . . . . . . . . . . . . . . . . . . . . . . . . . . . . . . . . . . . . . .</w:t>
      </w: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 . . . . . . . . . . . . . . </w:t>
      </w:r>
    </w:p>
    <w:p w:rsidR="008420EF" w:rsidRDefault="008420EF" w:rsidP="008420EF">
      <w:pPr>
        <w:pStyle w:val="Sangra3detindependiente"/>
        <w:rPr>
          <w:rFonts w:asciiTheme="minorHAnsi" w:hAnsiTheme="minorHAnsi" w:cstheme="minorHAnsi"/>
          <w:b/>
          <w:bCs/>
          <w:i/>
          <w:iCs/>
          <w:color w:val="767171" w:themeColor="background2" w:themeShade="80"/>
          <w:sz w:val="20"/>
          <w:szCs w:val="20"/>
        </w:rPr>
      </w:pPr>
    </w:p>
    <w:p w:rsidR="008420EF" w:rsidRDefault="008420EF" w:rsidP="008420EF">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la actora;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8420EF" w:rsidRDefault="008420EF" w:rsidP="008420EF">
      <w:pPr>
        <w:jc w:val="both"/>
        <w:rPr>
          <w:rFonts w:ascii="Calibri" w:hAnsi="Calibri"/>
          <w:color w:val="767171" w:themeColor="background2" w:themeShade="80"/>
          <w:sz w:val="26"/>
        </w:rPr>
      </w:pPr>
    </w:p>
    <w:p w:rsidR="008420EF" w:rsidRDefault="008420EF" w:rsidP="008420EF">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los meses de noviembre y diciembre del año 2015 dos mil quince, la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r>
        <w:rPr>
          <w:rFonts w:asciiTheme="minorHAnsi" w:hAnsiTheme="minorHAnsi" w:cstheme="minorHAnsi"/>
          <w:color w:val="767171" w:themeColor="background2" w:themeShade="80"/>
          <w:sz w:val="26"/>
          <w:szCs w:val="26"/>
        </w:rPr>
        <w:t xml:space="preserve">. . . . . . . . . </w:t>
      </w:r>
    </w:p>
    <w:p w:rsidR="008420EF" w:rsidRDefault="008420EF" w:rsidP="008420EF">
      <w:pPr>
        <w:jc w:val="both"/>
        <w:rPr>
          <w:rFonts w:ascii="Calibri" w:hAnsi="Calibri"/>
          <w:color w:val="767171" w:themeColor="background2" w:themeShade="80"/>
          <w:sz w:val="26"/>
        </w:rPr>
      </w:pPr>
    </w:p>
    <w:p w:rsidR="008420EF" w:rsidRDefault="008420EF" w:rsidP="008420EF">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 xml:space="preserve">A lo peticionado por la actora, el Gerente de Calidad del Agua del Sistema de Agua Potable y Alcantarillado de León, Guanajuato, emitió el oficio </w:t>
      </w:r>
      <w:r>
        <w:rPr>
          <w:rFonts w:asciiTheme="minorHAnsi" w:hAnsiTheme="minorHAnsi" w:cstheme="minorHAnsi"/>
          <w:b/>
          <w:color w:val="767171" w:themeColor="background2" w:themeShade="80"/>
          <w:sz w:val="26"/>
          <w:szCs w:val="26"/>
        </w:rPr>
        <w:t>GCA/1975/15</w:t>
      </w:r>
      <w:r>
        <w:rPr>
          <w:rFonts w:asciiTheme="minorHAnsi" w:hAnsiTheme="minorHAnsi" w:cstheme="minorHAnsi"/>
          <w:color w:val="767171" w:themeColor="background2" w:themeShade="80"/>
          <w:sz w:val="26"/>
          <w:szCs w:val="26"/>
        </w:rPr>
        <w:t xml:space="preserve"> de fecha 17 diecisiete</w:t>
      </w:r>
      <w:r>
        <w:rPr>
          <w:rFonts w:ascii="Calibri" w:hAnsi="Calibri"/>
          <w:color w:val="767171" w:themeColor="background2" w:themeShade="80"/>
          <w:sz w:val="26"/>
        </w:rPr>
        <w:t xml:space="preserv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 . . . . . . . . . . . . . . . . . . . .</w:t>
      </w:r>
      <w:r>
        <w:rPr>
          <w:rFonts w:asciiTheme="minorHAnsi" w:hAnsiTheme="minorHAnsi" w:cstheme="minorHAnsi"/>
          <w:color w:val="767171" w:themeColor="background2" w:themeShade="80"/>
          <w:sz w:val="26"/>
          <w:szCs w:val="26"/>
        </w:rPr>
        <w:t xml:space="preserve">. </w:t>
      </w:r>
    </w:p>
    <w:p w:rsidR="008420EF" w:rsidRDefault="008420EF" w:rsidP="008420EF">
      <w:pPr>
        <w:jc w:val="both"/>
        <w:rPr>
          <w:rFonts w:ascii="Calibri" w:hAnsi="Calibri"/>
          <w:color w:val="767171" w:themeColor="background2" w:themeShade="80"/>
          <w:sz w:val="26"/>
        </w:rPr>
      </w:pPr>
    </w:p>
    <w:p w:rsidR="008420EF" w:rsidRDefault="008420EF" w:rsidP="008420EF">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8420EF" w:rsidRDefault="008420EF" w:rsidP="008420EF">
      <w:pPr>
        <w:jc w:val="both"/>
        <w:rPr>
          <w:rFonts w:ascii="Calibri" w:hAnsi="Calibri"/>
          <w:color w:val="767171" w:themeColor="background2" w:themeShade="80"/>
          <w:sz w:val="26"/>
        </w:rPr>
      </w:pPr>
    </w:p>
    <w:p w:rsidR="008420EF" w:rsidRDefault="008420EF" w:rsidP="008420EF">
      <w:pPr>
        <w:ind w:firstLine="708"/>
        <w:jc w:val="both"/>
        <w:rPr>
          <w:rFonts w:ascii="Calibri" w:hAnsi="Calibri"/>
          <w:color w:val="767171" w:themeColor="background2" w:themeShade="80"/>
          <w:sz w:val="26"/>
          <w:lang w:val="es-MX"/>
        </w:rPr>
      </w:pPr>
    </w:p>
    <w:p w:rsidR="008420EF" w:rsidRDefault="008420EF" w:rsidP="008420EF">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178/2016-JN</w:t>
      </w:r>
    </w:p>
    <w:p w:rsidR="008420EF" w:rsidRDefault="008420EF" w:rsidP="008420EF">
      <w:pPr>
        <w:ind w:firstLine="708"/>
        <w:jc w:val="both"/>
        <w:rPr>
          <w:rFonts w:ascii="Calibri" w:hAnsi="Calibri"/>
          <w:color w:val="767171" w:themeColor="background2" w:themeShade="80"/>
          <w:sz w:val="26"/>
        </w:rPr>
      </w:pPr>
    </w:p>
    <w:p w:rsidR="008420EF" w:rsidRDefault="008420EF" w:rsidP="008420EF">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la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8420EF" w:rsidRDefault="008420EF" w:rsidP="008420EF">
      <w:pPr>
        <w:ind w:firstLine="708"/>
        <w:jc w:val="both"/>
        <w:rPr>
          <w:rFonts w:ascii="Calibri" w:hAnsi="Calibri"/>
          <w:color w:val="767171" w:themeColor="background2" w:themeShade="80"/>
          <w:sz w:val="26"/>
          <w:lang w:val="es-MX"/>
        </w:rPr>
      </w:pPr>
    </w:p>
    <w:p w:rsidR="008420EF" w:rsidRDefault="008420EF" w:rsidP="008420EF">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w:t>
      </w:r>
      <w:r>
        <w:rPr>
          <w:rFonts w:asciiTheme="minorHAnsi" w:hAnsiTheme="minorHAnsi" w:cstheme="minorHAnsi"/>
          <w:b/>
          <w:color w:val="767171" w:themeColor="background2" w:themeShade="80"/>
          <w:sz w:val="26"/>
          <w:szCs w:val="26"/>
        </w:rPr>
        <w:t>GCA/1975/15</w:t>
      </w:r>
      <w:r>
        <w:rPr>
          <w:rFonts w:asciiTheme="minorHAnsi" w:hAnsiTheme="minorHAnsi" w:cstheme="minorHAnsi"/>
          <w:color w:val="767171" w:themeColor="background2" w:themeShade="80"/>
          <w:sz w:val="26"/>
          <w:szCs w:val="26"/>
        </w:rPr>
        <w:t xml:space="preserve"> de fecha 17 diecisiete</w:t>
      </w:r>
      <w:r>
        <w:rPr>
          <w:rFonts w:ascii="Calibri" w:hAnsi="Calibri"/>
          <w:color w:val="767171" w:themeColor="background2" w:themeShade="80"/>
          <w:sz w:val="26"/>
        </w:rPr>
        <w:t xml:space="preserve"> de diciembre del año 2015 dos mil quince. . . . . . . . . . . . . . . . . . . . . . . . . . . . . . . . . . . </w:t>
      </w:r>
      <w:r>
        <w:rPr>
          <w:rFonts w:asciiTheme="minorHAnsi" w:hAnsiTheme="minorHAnsi" w:cstheme="minorHAnsi"/>
          <w:color w:val="767171" w:themeColor="background2" w:themeShade="80"/>
          <w:sz w:val="26"/>
          <w:szCs w:val="26"/>
        </w:rPr>
        <w:t xml:space="preserve">. . . . . . . . . . . . . . . . . . </w:t>
      </w:r>
    </w:p>
    <w:p w:rsidR="008420EF" w:rsidRDefault="008420EF" w:rsidP="008420EF">
      <w:pPr>
        <w:ind w:firstLine="708"/>
        <w:jc w:val="both"/>
        <w:rPr>
          <w:rFonts w:ascii="Calibri" w:hAnsi="Calibri"/>
          <w:color w:val="767171" w:themeColor="background2" w:themeShade="80"/>
          <w:sz w:val="26"/>
        </w:rPr>
      </w:pPr>
    </w:p>
    <w:p w:rsidR="008420EF" w:rsidRDefault="008420EF" w:rsidP="008420EF">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lastRenderedPageBreak/>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la actora en su escrito de demanda; sin necesidad de transcribirlo en su totalidad, sirviendo para ello el criterio sostenido por el Tribunal Colegiado de Circuito del Poder Judicial de la Federación, en la siguiente Jurisprudencia: . . . . . . . . . . . . . . . . . . . . .. </w:t>
      </w:r>
    </w:p>
    <w:p w:rsidR="008420EF" w:rsidRDefault="008420EF" w:rsidP="008420EF">
      <w:pPr>
        <w:pStyle w:val="NormalWeb"/>
        <w:spacing w:before="0" w:beforeAutospacing="0" w:after="0" w:afterAutospacing="0"/>
        <w:rPr>
          <w:color w:val="767171" w:themeColor="background2" w:themeShade="80"/>
          <w:lang w:val="es-ES"/>
        </w:rPr>
      </w:pPr>
    </w:p>
    <w:p w:rsidR="008420EF" w:rsidRDefault="008420EF" w:rsidP="008420EF">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w:t>
      </w:r>
    </w:p>
    <w:p w:rsidR="008420EF" w:rsidRDefault="008420EF" w:rsidP="008420EF"/>
    <w:p w:rsidR="008420EF" w:rsidRDefault="008420EF" w:rsidP="008420EF">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la actora aduce, “grosso modo”, que el oficio controvertido carece de la debida fundamentación y motivación, ya que es inexacto e impreciso sobre el trámite administrativo solicitado. . . . . . . . . . . . . . . . . . . . . . . . . . . . . . . . . . . . . . . . . . . . . . . . . . . . . . . . . . . . . </w:t>
      </w:r>
    </w:p>
    <w:p w:rsidR="008420EF" w:rsidRDefault="008420EF" w:rsidP="008420EF">
      <w:pPr>
        <w:jc w:val="both"/>
        <w:rPr>
          <w:rFonts w:asciiTheme="minorHAnsi" w:hAnsiTheme="minorHAnsi" w:cstheme="minorHAnsi"/>
          <w:color w:val="767171" w:themeColor="background2" w:themeShade="80"/>
          <w:sz w:val="26"/>
          <w:szCs w:val="26"/>
        </w:rPr>
      </w:pPr>
    </w:p>
    <w:p w:rsidR="008420EF" w:rsidRDefault="008420EF" w:rsidP="008420EF">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8420EF" w:rsidRDefault="008420EF" w:rsidP="008420EF">
      <w:pPr>
        <w:pStyle w:val="Sangra3detindependiente"/>
        <w:rPr>
          <w:rFonts w:asciiTheme="minorHAnsi" w:hAnsiTheme="minorHAnsi" w:cstheme="minorHAnsi"/>
          <w:color w:val="767171" w:themeColor="background2" w:themeShade="80"/>
        </w:rPr>
      </w:pPr>
    </w:p>
    <w:p w:rsidR="008420EF" w:rsidRDefault="008420EF" w:rsidP="008420EF">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w:t>
      </w:r>
      <w:r>
        <w:rPr>
          <w:rFonts w:asciiTheme="minorHAnsi" w:hAnsiTheme="minorHAnsi" w:cstheme="minorHAnsi"/>
          <w:b/>
          <w:color w:val="767171" w:themeColor="background2" w:themeShade="80"/>
          <w:sz w:val="26"/>
          <w:szCs w:val="26"/>
        </w:rPr>
        <w:t>GCA/1975/15</w:t>
      </w:r>
      <w:r>
        <w:rPr>
          <w:rFonts w:asciiTheme="minorHAnsi" w:hAnsiTheme="minorHAnsi" w:cstheme="minorHAnsi"/>
          <w:color w:val="767171" w:themeColor="background2" w:themeShade="80"/>
          <w:sz w:val="26"/>
          <w:szCs w:val="26"/>
        </w:rPr>
        <w:t xml:space="preserve"> de fecha 17 diecisiete</w:t>
      </w:r>
      <w:r>
        <w:rPr>
          <w:rFonts w:ascii="Calibri" w:hAnsi="Calibri"/>
          <w:color w:val="767171" w:themeColor="background2" w:themeShade="80"/>
          <w:sz w:val="26"/>
          <w:szCs w:val="26"/>
        </w:rPr>
        <w:t xml:space="preserve"> de diciembre del año 2015 dos mil quince;</w:t>
      </w:r>
      <w:r>
        <w:rPr>
          <w:rFonts w:ascii="Calibri" w:hAnsi="Calibri"/>
          <w:bCs/>
          <w:color w:val="767171" w:themeColor="background2" w:themeShade="80"/>
          <w:sz w:val="26"/>
        </w:rPr>
        <w:t xml:space="preserve"> no se justifica ni se funda el que, para acordar lo pedido por el justiciable, sea menester contar con su presencia personal o por Apoderado. . . . . . . . . . . . . . . . . . </w:t>
      </w:r>
    </w:p>
    <w:p w:rsidR="008420EF" w:rsidRDefault="008420EF" w:rsidP="008420EF">
      <w:pPr>
        <w:ind w:firstLine="708"/>
        <w:jc w:val="both"/>
        <w:rPr>
          <w:rFonts w:ascii="Calibri" w:hAnsi="Calibri"/>
          <w:bCs/>
          <w:color w:val="767171" w:themeColor="background2" w:themeShade="80"/>
          <w:sz w:val="26"/>
        </w:rPr>
      </w:pPr>
    </w:p>
    <w:p w:rsidR="008420EF" w:rsidRDefault="008420EF" w:rsidP="008420EF">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debe contener los sustentos legales de leyes y reglamentos que versen sobre la materia de las peticiones manifestadas así como las circunstancias especiales, las razones particulares o causas inmediatas que haya considerado la autoridad para </w:t>
      </w:r>
      <w:r>
        <w:rPr>
          <w:rFonts w:ascii="Calibri" w:hAnsi="Calibri"/>
          <w:bCs/>
          <w:color w:val="767171" w:themeColor="background2" w:themeShade="80"/>
          <w:sz w:val="26"/>
        </w:rPr>
        <w:lastRenderedPageBreak/>
        <w:t xml:space="preserve">emitir la respuesta o acuerdo en determinado sentido, lo que en la especie no se dio, 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8420EF" w:rsidRDefault="008420EF" w:rsidP="008420EF">
      <w:pPr>
        <w:jc w:val="both"/>
        <w:rPr>
          <w:rFonts w:ascii="Calibri" w:hAnsi="Calibri"/>
          <w:bCs/>
          <w:color w:val="767171" w:themeColor="background2" w:themeShade="80"/>
          <w:sz w:val="26"/>
        </w:rPr>
      </w:pPr>
    </w:p>
    <w:p w:rsidR="008420EF" w:rsidRDefault="008420EF" w:rsidP="008420EF">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la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8420EF" w:rsidRDefault="008420EF" w:rsidP="008420EF">
      <w:pPr>
        <w:jc w:val="both"/>
        <w:rPr>
          <w:rFonts w:ascii="Calibri" w:hAnsi="Calibri"/>
          <w:bCs/>
          <w:color w:val="767171" w:themeColor="background2" w:themeShade="80"/>
          <w:sz w:val="26"/>
        </w:rPr>
      </w:pPr>
    </w:p>
    <w:p w:rsidR="008420EF" w:rsidRDefault="008420EF" w:rsidP="008420EF">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 xml:space="preserve">oficio </w:t>
      </w:r>
      <w:r>
        <w:rPr>
          <w:rFonts w:asciiTheme="minorHAnsi" w:hAnsiTheme="minorHAnsi" w:cstheme="minorHAnsi"/>
          <w:b/>
          <w:color w:val="767171" w:themeColor="background2" w:themeShade="80"/>
          <w:sz w:val="26"/>
          <w:szCs w:val="26"/>
        </w:rPr>
        <w:t>GCA/1975/15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17</w:t>
      </w:r>
      <w:r>
        <w:rPr>
          <w:rFonts w:asciiTheme="minorHAnsi" w:hAnsiTheme="minorHAnsi" w:cstheme="minorHAnsi"/>
          <w:color w:val="767171" w:themeColor="background2" w:themeShade="80"/>
          <w:sz w:val="26"/>
          <w:szCs w:val="26"/>
        </w:rPr>
        <w:t xml:space="preserve"> diecisiete</w:t>
      </w:r>
      <w:r>
        <w:rPr>
          <w:rFonts w:ascii="Calibri" w:hAnsi="Calibri" w:cs="Calibri"/>
          <w:color w:val="767171" w:themeColor="background2" w:themeShade="80"/>
          <w:sz w:val="26"/>
          <w:szCs w:val="26"/>
        </w:rPr>
        <w:t xml:space="preserv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la ciudadana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 </w:t>
      </w:r>
      <w:r>
        <w:rPr>
          <w:rFonts w:asciiTheme="minorHAnsi" w:hAnsiTheme="minorHAnsi" w:cstheme="minorHAnsi"/>
          <w:color w:val="767171" w:themeColor="background2" w:themeShade="80"/>
          <w:sz w:val="26"/>
          <w:szCs w:val="26"/>
        </w:rPr>
        <w:t xml:space="preserve">. . . . . . . . . . . . . . </w:t>
      </w:r>
    </w:p>
    <w:p w:rsidR="008420EF" w:rsidRDefault="008420EF" w:rsidP="008420EF">
      <w:pPr>
        <w:ind w:firstLine="708"/>
        <w:jc w:val="both"/>
        <w:rPr>
          <w:rFonts w:ascii="Calibri" w:hAnsi="Calibri" w:cs="Calibri"/>
          <w:color w:val="767171" w:themeColor="background2" w:themeShade="80"/>
          <w:sz w:val="26"/>
          <w:szCs w:val="26"/>
        </w:rPr>
      </w:pPr>
    </w:p>
    <w:p w:rsidR="008420EF" w:rsidRDefault="008420EF" w:rsidP="008420E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 . . .</w:t>
      </w:r>
    </w:p>
    <w:p w:rsidR="008420EF" w:rsidRDefault="008420EF" w:rsidP="008420EF">
      <w:pPr>
        <w:pStyle w:val="Textoindependiente"/>
        <w:rPr>
          <w:rFonts w:ascii="Calibri" w:hAnsi="Calibri"/>
          <w:color w:val="767171" w:themeColor="background2" w:themeShade="80"/>
        </w:rPr>
      </w:pPr>
    </w:p>
    <w:p w:rsidR="008420EF" w:rsidRDefault="008420EF" w:rsidP="008420EF">
      <w:pPr>
        <w:pStyle w:val="Textoindependiente"/>
        <w:ind w:firstLine="708"/>
        <w:rPr>
          <w:rFonts w:ascii="Calibri" w:hAnsi="Calibri"/>
          <w:color w:val="767171" w:themeColor="background2" w:themeShade="80"/>
          <w:sz w:val="26"/>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8420EF" w:rsidRDefault="008420EF" w:rsidP="008420EF">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lastRenderedPageBreak/>
        <w:t>Expediente número 178/2016-JN</w:t>
      </w:r>
    </w:p>
    <w:p w:rsidR="008420EF" w:rsidRDefault="008420EF" w:rsidP="008420EF">
      <w:pPr>
        <w:jc w:val="both"/>
        <w:rPr>
          <w:rFonts w:asciiTheme="minorHAnsi" w:hAnsiTheme="minorHAnsi" w:cstheme="minorHAnsi"/>
          <w:color w:val="767171" w:themeColor="background2" w:themeShade="80"/>
          <w:sz w:val="26"/>
          <w:szCs w:val="26"/>
        </w:rPr>
      </w:pPr>
    </w:p>
    <w:p w:rsidR="008420EF" w:rsidRDefault="008420EF" w:rsidP="008420E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8420EF" w:rsidRDefault="008420EF" w:rsidP="008420EF">
      <w:pPr>
        <w:pStyle w:val="Normal0"/>
        <w:jc w:val="both"/>
        <w:rPr>
          <w:rFonts w:asciiTheme="minorHAnsi" w:hAnsiTheme="minorHAnsi" w:cstheme="minorHAnsi"/>
          <w:color w:val="767171" w:themeColor="background2" w:themeShade="80"/>
          <w:sz w:val="26"/>
          <w:szCs w:val="26"/>
        </w:rPr>
      </w:pPr>
    </w:p>
    <w:p w:rsidR="008420EF" w:rsidRDefault="008420EF" w:rsidP="008420EF">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r>
        <w:rPr>
          <w:rFonts w:asciiTheme="minorHAnsi" w:hAnsiTheme="minorHAnsi" w:cstheme="minorHAnsi"/>
          <w:color w:val="767171" w:themeColor="background2" w:themeShade="80"/>
          <w:sz w:val="26"/>
          <w:szCs w:val="26"/>
        </w:rPr>
        <w:t xml:space="preserve"> . . . . . . . . . . . . . . . . . . . . . </w:t>
      </w:r>
    </w:p>
    <w:p w:rsidR="008420EF" w:rsidRDefault="008420EF" w:rsidP="008420EF">
      <w:pPr>
        <w:pStyle w:val="Textoindependienteprimerasangra"/>
        <w:ind w:firstLine="0"/>
        <w:jc w:val="both"/>
        <w:rPr>
          <w:rFonts w:asciiTheme="minorHAnsi" w:hAnsiTheme="minorHAnsi" w:cstheme="minorHAnsi"/>
          <w:i/>
          <w:color w:val="767171" w:themeColor="background2" w:themeShade="80"/>
          <w:sz w:val="26"/>
          <w:szCs w:val="26"/>
        </w:rPr>
      </w:pP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Por lo expuesto, y con fundamento además en lo dispuesto en los artículos 249, 287, 298, 299, 300, fracción III, y 302, fracción II, del Código de Procedimiento 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 . . . . . . . . . . . . . . . </w:t>
      </w:r>
    </w:p>
    <w:p w:rsidR="008420EF" w:rsidRDefault="008420EF" w:rsidP="008420EF">
      <w:pPr>
        <w:pStyle w:val="Textoindependienteprimerasangra"/>
        <w:ind w:firstLine="708"/>
        <w:jc w:val="both"/>
        <w:rPr>
          <w:rFonts w:asciiTheme="minorHAnsi" w:hAnsiTheme="minorHAnsi" w:cstheme="minorHAnsi"/>
          <w:color w:val="767171" w:themeColor="background2" w:themeShade="80"/>
          <w:sz w:val="20"/>
          <w:szCs w:val="20"/>
        </w:rPr>
      </w:pPr>
    </w:p>
    <w:p w:rsidR="008420EF" w:rsidRDefault="008420EF" w:rsidP="008420EF">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8420EF" w:rsidRDefault="008420EF" w:rsidP="008420EF">
      <w:pPr>
        <w:jc w:val="both"/>
        <w:rPr>
          <w:color w:val="767171" w:themeColor="background2" w:themeShade="80"/>
          <w:sz w:val="20"/>
          <w:szCs w:val="20"/>
        </w:rPr>
      </w:pPr>
    </w:p>
    <w:p w:rsidR="008420EF" w:rsidRDefault="008420EF" w:rsidP="008420EF">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8420EF" w:rsidRDefault="008420EF" w:rsidP="008420EF">
      <w:pPr>
        <w:pStyle w:val="Textoindependienteprimerasangra"/>
        <w:jc w:val="both"/>
        <w:rPr>
          <w:rFonts w:asciiTheme="minorHAnsi" w:hAnsiTheme="minorHAnsi" w:cstheme="minorHAnsi"/>
          <w:color w:val="767171" w:themeColor="background2" w:themeShade="80"/>
          <w:sz w:val="20"/>
          <w:szCs w:val="20"/>
        </w:rPr>
      </w:pPr>
    </w:p>
    <w:p w:rsidR="008420EF" w:rsidRDefault="008420EF" w:rsidP="008420EF">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lastRenderedPageBreak/>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el ciudadano *****, en contra del oficio impugnado. . . . . . . . . . . . . </w:t>
      </w:r>
    </w:p>
    <w:p w:rsidR="008420EF" w:rsidRDefault="008420EF" w:rsidP="008420EF">
      <w:pPr>
        <w:pStyle w:val="Textoindependienteprimerasangra"/>
        <w:jc w:val="both"/>
        <w:rPr>
          <w:rFonts w:asciiTheme="minorHAnsi" w:hAnsiTheme="minorHAnsi" w:cstheme="minorHAnsi"/>
          <w:b/>
          <w:bCs/>
          <w:i/>
          <w:iCs/>
          <w:color w:val="767171" w:themeColor="background2" w:themeShade="80"/>
          <w:sz w:val="20"/>
          <w:szCs w:val="20"/>
        </w:rPr>
      </w:pPr>
    </w:p>
    <w:p w:rsidR="008420EF" w:rsidRDefault="008420EF" w:rsidP="008420EF">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GCA/1975/15</w:t>
      </w:r>
      <w:r>
        <w:rPr>
          <w:rFonts w:asciiTheme="minorHAnsi" w:hAnsiTheme="minorHAnsi" w:cstheme="minorHAnsi"/>
          <w:color w:val="767171" w:themeColor="background2" w:themeShade="80"/>
          <w:sz w:val="26"/>
          <w:szCs w:val="26"/>
        </w:rPr>
        <w:t xml:space="preserve"> de fecha 17 diecisiete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la ciudadana </w:t>
      </w:r>
      <w:r>
        <w:rPr>
          <w:rFonts w:asciiTheme="minorHAnsi" w:hAnsiTheme="minorHAnsi" w:cstheme="minorHAnsi"/>
          <w:color w:val="767171" w:themeColor="background2" w:themeShade="80"/>
          <w:sz w:val="26"/>
          <w:szCs w:val="26"/>
        </w:rPr>
        <w:t>*****</w:t>
      </w:r>
      <w:r>
        <w:rPr>
          <w:rFonts w:ascii="Calibri" w:hAnsi="Calibri" w:cs="Calibri"/>
          <w:color w:val="767171" w:themeColor="background2" w:themeShade="80"/>
          <w:sz w:val="26"/>
          <w:szCs w:val="26"/>
        </w:rPr>
        <w:t xml:space="preserve">;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w:t>
      </w:r>
    </w:p>
    <w:p w:rsidR="008420EF" w:rsidRDefault="008420EF" w:rsidP="008420EF">
      <w:pPr>
        <w:pStyle w:val="Textoindependienteprimerasangra"/>
        <w:ind w:firstLine="0"/>
        <w:jc w:val="both"/>
        <w:rPr>
          <w:rFonts w:asciiTheme="minorHAnsi" w:hAnsiTheme="minorHAnsi" w:cstheme="minorHAnsi"/>
          <w:b/>
          <w:bCs/>
          <w:i/>
          <w:iCs/>
          <w:color w:val="767171" w:themeColor="background2" w:themeShade="80"/>
          <w:sz w:val="20"/>
          <w:szCs w:val="20"/>
        </w:rPr>
      </w:pPr>
    </w:p>
    <w:p w:rsidR="008420EF" w:rsidRDefault="008420EF" w:rsidP="008420EF">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8420EF" w:rsidRDefault="008420EF" w:rsidP="008420EF">
      <w:pPr>
        <w:pStyle w:val="Textoindependienteprimerasangra"/>
        <w:jc w:val="both"/>
        <w:rPr>
          <w:rFonts w:asciiTheme="minorHAnsi" w:hAnsiTheme="minorHAnsi" w:cstheme="minorHAnsi"/>
          <w:color w:val="767171" w:themeColor="background2" w:themeShade="80"/>
          <w:sz w:val="20"/>
          <w:szCs w:val="20"/>
        </w:rPr>
      </w:pPr>
    </w:p>
    <w:p w:rsidR="008420EF" w:rsidRDefault="008420EF" w:rsidP="008420EF">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8420EF" w:rsidRDefault="008420EF" w:rsidP="008420EF">
      <w:pPr>
        <w:pStyle w:val="Textoindependienteprimerasangra"/>
        <w:jc w:val="both"/>
        <w:rPr>
          <w:rFonts w:asciiTheme="minorHAnsi" w:hAnsiTheme="minorHAnsi" w:cstheme="minorHAnsi"/>
          <w:color w:val="767171" w:themeColor="background2" w:themeShade="80"/>
          <w:sz w:val="20"/>
          <w:szCs w:val="20"/>
        </w:rPr>
      </w:pPr>
    </w:p>
    <w:p w:rsidR="008420EF" w:rsidRDefault="008420EF" w:rsidP="008420EF">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xml:space="preserve">, quien da fe. . . . . . . . . . . . . . . . . . . . . . . . . . . . . . . . . . . . . . . . . . . . . . . </w:t>
      </w:r>
    </w:p>
    <w:p w:rsidR="00B237B6" w:rsidRDefault="00B237B6">
      <w:bookmarkStart w:id="0" w:name="_GoBack"/>
      <w:bookmarkEnd w:id="0"/>
    </w:p>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EF"/>
    <w:rsid w:val="008420EF"/>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52CF5-BF5A-4257-A283-8F1AF1D7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0EF"/>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8420E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8420EF"/>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8420EF"/>
    <w:pPr>
      <w:jc w:val="both"/>
    </w:pPr>
    <w:rPr>
      <w:lang w:val="es-MX"/>
    </w:rPr>
  </w:style>
  <w:style w:type="character" w:customStyle="1" w:styleId="TextoindependienteCar">
    <w:name w:val="Texto independiente Car"/>
    <w:basedOn w:val="Fuentedeprrafopredeter"/>
    <w:link w:val="Textoindependiente"/>
    <w:rsid w:val="008420EF"/>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8420E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420EF"/>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8420EF"/>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8420EF"/>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8420EF"/>
    <w:rPr>
      <w:rFonts w:ascii="Times New Roman" w:eastAsia="Times New Roman" w:hAnsi="Times New Roman" w:cs="Times New Roman"/>
      <w:sz w:val="24"/>
      <w:szCs w:val="24"/>
      <w:lang w:val="es-ES" w:eastAsia="es-ES"/>
    </w:rPr>
  </w:style>
  <w:style w:type="paragraph" w:customStyle="1" w:styleId="Normal0">
    <w:name w:val="[Normal]"/>
    <w:semiHidden/>
    <w:rsid w:val="008420EF"/>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8420EF"/>
    <w:rPr>
      <w:b/>
      <w:bCs/>
    </w:rPr>
  </w:style>
  <w:style w:type="character" w:styleId="nfasis">
    <w:name w:val="Emphasis"/>
    <w:basedOn w:val="Fuentedeprrafopredeter"/>
    <w:uiPriority w:val="20"/>
    <w:qFormat/>
    <w:rsid w:val="008420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2891</Words>
  <Characters>15904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2017-09-01T16:59:00Z</dcterms:created>
  <dcterms:modified xsi:type="dcterms:W3CDTF">2017-09-01T17:04:00Z</dcterms:modified>
</cp:coreProperties>
</file>